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spacing w:before="0" w:after="62"/>
        <w:ind w:hanging="0" w:start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1"/>
        <w:ind w:hanging="0" w:start="0"/>
        <w:rPr>
          <w:sz w:val="24"/>
          <w:szCs w:val="24"/>
        </w:rPr>
      </w:pPr>
      <w:r>
        <w:rPr>
          <w:sz w:val="24"/>
          <w:szCs w:val="24"/>
        </w:rPr>
        <w:t>УВЕДОМЛЕНИЕ</w:t>
      </w:r>
    </w:p>
    <w:p>
      <w:pPr>
        <w:pStyle w:val="Heading1"/>
        <w:ind w:hanging="0" w:start="0"/>
        <w:rPr>
          <w:sz w:val="24"/>
          <w:szCs w:val="24"/>
        </w:rPr>
      </w:pPr>
      <w:r>
        <w:rPr>
          <w:sz w:val="24"/>
          <w:szCs w:val="24"/>
        </w:rPr>
        <w:t>о фактическом совокупном размере обязательств по договорам строительного подряда, договорам подряда на осуществление сноса, заключенным с использованием конкурентных способов заключения договоров</w:t>
      </w:r>
    </w:p>
    <w:p>
      <w:pPr>
        <w:pStyle w:val="Heading1"/>
        <w:ind w:hanging="0" w:start="0"/>
        <w:rPr>
          <w:sz w:val="24"/>
          <w:szCs w:val="24"/>
        </w:rPr>
      </w:pPr>
      <w:r>
        <w:rPr>
          <w:sz w:val="24"/>
          <w:szCs w:val="24"/>
        </w:rPr>
        <w:t>за_____________ год</w:t>
      </w:r>
    </w:p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center"/>
        <w:rPr/>
      </w:pPr>
      <w:r>
        <w:rPr/>
      </w:r>
    </w:p>
    <w:p>
      <w:pPr>
        <w:pStyle w:val="Normal"/>
        <w:rPr/>
      </w:pPr>
      <w:r>
        <w:rPr/>
        <w:t xml:space="preserve">1. Фирменное наименование ЮЛ (полное фирменное наименование) / ФИО ИП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___________________________________________________________________________</w:t>
      </w:r>
    </w:p>
    <w:p>
      <w:pPr>
        <w:pStyle w:val="Normal"/>
        <w:rPr/>
      </w:pPr>
      <w:r>
        <w:rPr/>
        <w:t xml:space="preserve">2. Сокращенное фирменное наименование ЮЛ 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___________________________________________________________________________</w:t>
      </w:r>
    </w:p>
    <w:p>
      <w:pPr>
        <w:pStyle w:val="Normal"/>
        <w:rPr/>
      </w:pPr>
      <w:r>
        <w:rPr/>
      </w:r>
    </w:p>
    <w:p>
      <w:pPr>
        <w:pStyle w:val="Normal"/>
        <w:jc w:val="both"/>
        <w:rPr/>
      </w:pPr>
      <w:r>
        <w:rPr/>
        <w:t>3. Место нахождения ЮЛ / адрес ИП</w:t>
      </w:r>
    </w:p>
    <w:p>
      <w:pPr>
        <w:pStyle w:val="Normal"/>
        <w:jc w:val="both"/>
        <w:rPr/>
      </w:pPr>
      <w:r>
        <w:rPr/>
        <w:t>___________________________________________________________________________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  <w:t>4. ОГРН / ОГРНИП____________________________________________________________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  <w:t>5. ИНН_______________________________________________________________________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  <w:t>6. Дата приема в члены АСРО «РОС «СОЮЗ»______________________________________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  <w:t>7. Фактический совокупный размер обязательств по договорам по состоянию на 01 января отчетного года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  <w:t>_________________________________________________________________________ руб.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  <w:t>Подтверждающие документы (договоры, дополнительные соглашения к ним, акты приемки работ):</w:t>
      </w:r>
    </w:p>
    <w:p>
      <w:pPr>
        <w:pStyle w:val="Normal"/>
        <w:jc w:val="both"/>
        <w:rPr/>
      </w:pPr>
      <w:r>
        <w:rPr/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  <w:t xml:space="preserve">8. Фактический совокупный размер обязательств по договорам, которые были заключены членом АСРО «РОС «СОЮЗ» в течение отчетного года 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  <w:t>_________________________________________________________________________ руб.</w:t>
      </w:r>
    </w:p>
    <w:p>
      <w:pPr>
        <w:pStyle w:val="Normal"/>
        <w:jc w:val="both"/>
        <w:rPr/>
      </w:pPr>
      <w:r>
        <w:rPr/>
        <w:t>Подтверждающие документы (договоры, дополнительные соглашения к ним):</w:t>
      </w:r>
    </w:p>
    <w:p>
      <w:pPr>
        <w:pStyle w:val="Normal"/>
        <w:jc w:val="both"/>
        <w:rPr/>
      </w:pPr>
      <w:r>
        <w:rPr/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  <w:t>9. Фактический совокупный размер обязательств по договорам и обязательства по которым признаны сторонами исполненными  на основании акта приемки результатов работ и (или) исполнение по которым сторонами прекращено по основаниям, предусмотренным законом или договором, до приемки заказчиком результата работы, в течение отчетного года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  <w:t>_________________________________________________________________________  руб.</w:t>
      </w:r>
    </w:p>
    <w:p>
      <w:pPr>
        <w:pStyle w:val="Normal"/>
        <w:jc w:val="both"/>
        <w:rPr/>
      </w:pPr>
      <w:r>
        <w:rPr/>
        <w:t>Подтверждающие документы (акты приемки результатов работ, иные документы, на основании которых обязательства считаются исполненными):</w:t>
      </w:r>
    </w:p>
    <w:p>
      <w:pPr>
        <w:pStyle w:val="Normal"/>
        <w:jc w:val="both"/>
        <w:rPr/>
      </w:pPr>
      <w:r>
        <w:rPr/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  <w:t>10. Фактический совокупный размер обязательств по всем договорам, которые заключены членом АСРО «РОС «СОЮЗ» и исполнение которых на 31 декабря отчетного года не завершено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  <w:t>_________________________________________________________________________ руб.</w:t>
      </w:r>
    </w:p>
    <w:p>
      <w:pPr>
        <w:pStyle w:val="Normal"/>
        <w:jc w:val="both"/>
        <w:rPr/>
      </w:pPr>
      <w:r>
        <w:rPr/>
        <w:t>Подтверждающие документы (договоры, дополнительные соглашения к ним, акты приемки работ):</w:t>
      </w:r>
    </w:p>
    <w:p>
      <w:pPr>
        <w:pStyle w:val="Normal"/>
        <w:jc w:val="both"/>
        <w:rPr/>
      </w:pPr>
      <w:r>
        <w:rPr/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  <w:t>Приложения</w:t>
      </w:r>
      <w:r>
        <w:rPr>
          <w:rStyle w:val="Style18"/>
          <w:rStyle w:val="FootnoteReference"/>
        </w:rPr>
        <w:footnoteReference w:id="2"/>
      </w:r>
      <w:r>
        <w:rPr/>
        <w:t>:</w:t>
      </w:r>
    </w:p>
    <w:p>
      <w:pPr>
        <w:pStyle w:val="Normal"/>
        <w:jc w:val="both"/>
        <w:rPr/>
      </w:pPr>
      <w:r>
        <w:rPr/>
        <w:t>1. __________________________________________________________________________</w:t>
      </w:r>
    </w:p>
    <w:p>
      <w:pPr>
        <w:pStyle w:val="Normal"/>
        <w:jc w:val="both"/>
        <w:rPr/>
      </w:pPr>
      <w:r>
        <w:rPr/>
        <w:t>2.___________________________________________________________________________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  <w:t>______________                                          ______________                           ______________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>Наименование должности руководителя                 Подпись                                                    ФИО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</w:t>
      </w:r>
      <w:r>
        <w:rPr>
          <w:sz w:val="20"/>
          <w:szCs w:val="20"/>
        </w:rPr>
        <w:t>МП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sectPr>
      <w:footerReference w:type="default" r:id="rId2"/>
      <w:footerReference w:type="first" r:id="rId3"/>
      <w:footnotePr>
        <w:numFmt w:val="decimal"/>
      </w:footnotePr>
      <w:type w:val="nextPage"/>
      <w:pgSz w:w="11906" w:h="16838"/>
      <w:pgMar w:left="1560" w:right="707" w:gutter="0" w:header="0" w:top="851" w:footer="709" w:bottom="851"/>
      <w:pgNumType w:start="23"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Times New Roman">
    <w:charset w:val="cc" w:characterSet="windows-1251"/>
    <w:family w:val="roman"/>
    <w:pitch w:val="variable"/>
  </w:font>
  <w:font w:name="Arial">
    <w:charset w:val="cc" w:characterSet="windows-1251"/>
    <w:family w:val="swiss"/>
    <w:pitch w:val="variable"/>
  </w:font>
  <w:font w:name="Courier New">
    <w:charset w:val="cc" w:characterSet="windows-1251"/>
    <w:family w:val="modern"/>
    <w:pitch w:val="default"/>
  </w:font>
  <w:font w:name="Wingdings">
    <w:charset w:val="02"/>
    <w:family w:val="auto"/>
    <w:pitch w:val="variable"/>
  </w:font>
  <w:font w:name="Tahoma">
    <w:charset w:val="cc" w:characterSet="windows-1251"/>
    <w:family w:val="swiss"/>
    <w:pitch w:val="variable"/>
  </w:font>
  <w:font w:name="Calibri">
    <w:charset w:val="cc" w:characterSet="windows-1251"/>
    <w:family w:val="swiss"/>
    <w:pitch w:val="variable"/>
  </w:font>
  <w:font w:name="Cambria">
    <w:charset w:val="cc" w:characterSet="windows-125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end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23</w:t>
    </w:r>
    <w:r>
      <w:rPr/>
      <w:fldChar w:fldCharType="end"/>
    </w:r>
  </w:p>
  <w:p>
    <w:pPr>
      <w:pStyle w:val="Footer"/>
      <w:rPr/>
    </w:pPr>
    <w:r>
      <w:rPr/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r>
        <w:separator/>
      </w:r>
    </w:p>
  </w:footnote>
  <w:footnote w:id="1" w:type="continuationSeparator">
    <w:p>
      <w:r>
        <w:continuationSeparator/>
      </w:r>
    </w:p>
  </w:footnote>
  <w:footnote w:id="2">
    <w:p>
      <w:pPr>
        <w:pStyle w:val="FootnoteText"/>
        <w:rPr/>
      </w:pPr>
      <w:r>
        <w:rPr>
          <w:rStyle w:val="Style18"/>
        </w:rPr>
        <w:footnoteRef/>
      </w:r>
      <w:r>
        <w:rPr/>
        <w:t xml:space="preserve"> </w:t>
      </w:r>
      <w:r>
        <w:rPr/>
        <w:t>К уведомлению прилагаются копии документов (договоров, дополнительных соглашений к ним, актов приемки результатов работ), подтверждающих:</w:t>
      </w:r>
    </w:p>
    <w:p>
      <w:pPr>
        <w:pStyle w:val="FootnoteText"/>
        <w:rPr/>
      </w:pPr>
      <w:r>
        <w:rPr/>
        <w:t>- совокупный размер обязательств по договорам, которые были заключены членом АСРО «РОС «СОЮЗ» в течение отчетного года,</w:t>
      </w:r>
    </w:p>
    <w:p>
      <w:pPr>
        <w:pStyle w:val="FootnoteText"/>
        <w:rPr/>
      </w:pPr>
      <w:r>
        <w:rPr/>
        <w:t>- совокупный размер обязательств по договорам, которые были прекращены в течение отчетного года,</w:t>
      </w:r>
    </w:p>
    <w:p>
      <w:pPr>
        <w:pStyle w:val="FootnoteText"/>
        <w:rPr/>
      </w:pPr>
      <w:r>
        <w:rPr/>
        <w:t>- совокупный размер обязательств по всем договорам, которые заключены членом АСРО «РОС «СОЮЗ» и исполнение которых на 31 декабря отчетного года не завершено.</w:t>
      </w:r>
    </w:p>
    <w:p>
      <w:pPr>
        <w:pStyle w:val="FootnoteText"/>
        <w:rPr/>
      </w:pPr>
      <w:r>
        <w:rPr/>
      </w:r>
    </w:p>
    <w:p>
      <w:pPr>
        <w:pStyle w:val="FootnoteText"/>
        <w:rPr/>
      </w:pPr>
      <w:r>
        <w:rPr/>
        <w:t xml:space="preserve">Если в подтверждающих документах содержится информация, размещаемая в форме открытых данных, член АСРО «РОС «СОЮЗ» </w:t>
      </w:r>
      <w:r>
        <w:rPr>
          <w:b/>
        </w:rPr>
        <w:t>вправе не представлять данные документы</w:t>
      </w:r>
      <w:r>
        <w:rPr/>
        <w:t xml:space="preserve"> (в этом случае при перечислении подтверждающих документов указать ссылки на источники, в которых содержится данная информация)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pStyle w:val="Heading1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pStyle w:val="Heading2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pStyle w:val="Heading3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87"/>
  <w:defaultTabStop w:val="708"/>
  <w:autoHyphenation w:val="true"/>
  <w:hyphenationZone w:val="0"/>
  <w:footnotePr>
    <w:numFmt w:val="decimal"/>
    <w:footnote w:id="0"/>
    <w:footnote w:id="1"/>
  </w:footnotePr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Arial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4"/>
      <w:szCs w:val="24"/>
      <w:lang w:val="ru-RU" w:bidi="ar-SA" w:eastAsia="zh-CN"/>
    </w:rPr>
  </w:style>
  <w:style w:type="paragraph" w:styleId="Heading1">
    <w:name w:val="heading 1"/>
    <w:basedOn w:val="Normal"/>
    <w:next w:val="BodyText"/>
    <w:qFormat/>
    <w:pPr>
      <w:keepNext w:val="true"/>
      <w:numPr>
        <w:ilvl w:val="0"/>
        <w:numId w:val="1"/>
      </w:numPr>
      <w:spacing w:before="280" w:after="62"/>
      <w:jc w:val="center"/>
      <w:outlineLvl w:val="0"/>
    </w:pPr>
    <w:rPr>
      <w:b/>
      <w:bCs/>
      <w:kern w:val="2"/>
      <w:sz w:val="48"/>
      <w:szCs w:val="48"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pPr>
      <w:keepNext w:val="true"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styleId="WW8Num1z0">
    <w:name w:val="WW8Num1z0"/>
    <w:qFormat/>
    <w:rPr>
      <w:sz w:val="28"/>
    </w:rPr>
  </w:style>
  <w:style w:type="character" w:styleId="WW8Num1z1">
    <w:name w:val="WW8Num1z1"/>
    <w:qFormat/>
    <w:rPr>
      <w:b w:val="false"/>
      <w:i w:val="false"/>
      <w:sz w:val="24"/>
    </w:rPr>
  </w:style>
  <w:style w:type="character" w:styleId="WW8Num1z2">
    <w:name w:val="WW8Num1z2"/>
    <w:qFormat/>
    <w:rPr>
      <w:b/>
      <w:i w:val="false"/>
      <w:color w:val="000000"/>
      <w:sz w:val="24"/>
    </w:rPr>
  </w:style>
  <w:style w:type="character" w:styleId="WW8Num1z3">
    <w:name w:val="WW8Num1z3"/>
    <w:qFormat/>
    <w:rPr>
      <w:b w:val="false"/>
      <w:i w:val="false"/>
      <w:sz w:val="24"/>
    </w:rPr>
  </w:style>
  <w:style w:type="character" w:styleId="WW8Num1z4">
    <w:name w:val="WW8Num1z4"/>
    <w:qFormat/>
    <w:rPr>
      <w:b/>
      <w:i w:val="false"/>
      <w:sz w:val="22"/>
    </w:rPr>
  </w:style>
  <w:style w:type="character" w:styleId="WW8Num2z0">
    <w:name w:val="WW8Num2z0"/>
    <w:qFormat/>
    <w:rPr>
      <w:rFonts w:eastAsia="Times New Roman"/>
    </w:rPr>
  </w:style>
  <w:style w:type="character" w:styleId="WW8Num3z0">
    <w:name w:val="WW8Num3z0"/>
    <w:qFormat/>
    <w:rPr>
      <w:rFonts w:ascii="Symbol" w:hAnsi="Symbol" w:cs="Symbol"/>
      <w:sz w:val="20"/>
    </w:rPr>
  </w:style>
  <w:style w:type="character" w:styleId="WW8Num3z1">
    <w:name w:val="WW8Num3z1"/>
    <w:qFormat/>
    <w:rPr>
      <w:rFonts w:ascii="Courier New" w:hAnsi="Courier New" w:cs="Courier New"/>
      <w:sz w:val="20"/>
    </w:rPr>
  </w:style>
  <w:style w:type="character" w:styleId="WW8Num3z2">
    <w:name w:val="WW8Num3z2"/>
    <w:qFormat/>
    <w:rPr>
      <w:rFonts w:ascii="Wingdings" w:hAnsi="Wingdings" w:cs="Wingdings"/>
      <w:sz w:val="20"/>
    </w:rPr>
  </w:style>
  <w:style w:type="character" w:styleId="WW8Num4z0">
    <w:name w:val="WW8Num4z0"/>
    <w:qFormat/>
    <w:rPr/>
  </w:style>
  <w:style w:type="character" w:styleId="WW8Num5z0">
    <w:name w:val="WW8Num5z0"/>
    <w:qFormat/>
    <w:rPr/>
  </w:style>
  <w:style w:type="character" w:styleId="WW8Num6z0">
    <w:name w:val="WW8Num6z0"/>
    <w:qFormat/>
    <w:rPr/>
  </w:style>
  <w:style w:type="character" w:styleId="WW8Num8z0">
    <w:name w:val="WW8Num8z0"/>
    <w:qFormat/>
    <w:rPr>
      <w:rFonts w:eastAsia="Times New Roman"/>
    </w:rPr>
  </w:style>
  <w:style w:type="character" w:styleId="WW8Num9z0">
    <w:name w:val="WW8Num9z0"/>
    <w:qFormat/>
    <w:rPr>
      <w:rFonts w:ascii="Wingdings" w:hAnsi="Wingdings" w:cs="Wingdings"/>
    </w:rPr>
  </w:style>
  <w:style w:type="character" w:styleId="WW8Num9z1">
    <w:name w:val="WW8Num9z1"/>
    <w:qFormat/>
    <w:rPr>
      <w:rFonts w:ascii="Courier New" w:hAnsi="Courier New" w:cs="Courier New"/>
    </w:rPr>
  </w:style>
  <w:style w:type="character" w:styleId="WW8Num9z3">
    <w:name w:val="WW8Num9z3"/>
    <w:qFormat/>
    <w:rPr>
      <w:rFonts w:ascii="Symbol" w:hAnsi="Symbol" w:cs="Symbol"/>
    </w:rPr>
  </w:style>
  <w:style w:type="character" w:styleId="WW8Num10z0">
    <w:name w:val="WW8Num10z0"/>
    <w:qFormat/>
    <w:rPr/>
  </w:style>
  <w:style w:type="character" w:styleId="WW8Num12z0">
    <w:name w:val="WW8Num12z0"/>
    <w:qFormat/>
    <w:rPr/>
  </w:style>
  <w:style w:type="character" w:styleId="WW8Num13z0">
    <w:name w:val="WW8Num13z0"/>
    <w:qFormat/>
    <w:rPr/>
  </w:style>
  <w:style w:type="character" w:styleId="Style11">
    <w:name w:val="Основной шрифт абзаца"/>
    <w:qFormat/>
    <w:rPr/>
  </w:style>
  <w:style w:type="character" w:styleId="Strong">
    <w:name w:val="Strong"/>
    <w:qFormat/>
    <w:rPr>
      <w:b/>
      <w:bCs/>
    </w:rPr>
  </w:style>
  <w:style w:type="character" w:styleId="PageNumber">
    <w:name w:val="page number"/>
    <w:basedOn w:val="Style11"/>
    <w:rPr/>
  </w:style>
  <w:style w:type="character" w:styleId="s102">
    <w:name w:val="s_102"/>
    <w:qFormat/>
    <w:rPr>
      <w:b/>
      <w:bCs/>
      <w:color w:val="000080"/>
    </w:rPr>
  </w:style>
  <w:style w:type="character" w:styleId="Hyperlink">
    <w:name w:val="Hyperlink"/>
    <w:rPr>
      <w:color w:val="0000FF"/>
      <w:u w:val="single"/>
    </w:rPr>
  </w:style>
  <w:style w:type="character" w:styleId="Style12">
    <w:name w:val="Верхний колонтитул Знак"/>
    <w:qFormat/>
    <w:rPr>
      <w:sz w:val="24"/>
      <w:szCs w:val="24"/>
      <w:lang w:val="ru-RU" w:bidi="ar-SA"/>
    </w:rPr>
  </w:style>
  <w:style w:type="character" w:styleId="Style13">
    <w:name w:val="Основной текст Знак"/>
    <w:qFormat/>
    <w:rPr>
      <w:rFonts w:ascii="Arial" w:hAnsi="Arial" w:eastAsia="Lucida Sans Unicode" w:cs="Arial"/>
      <w:sz w:val="24"/>
      <w:szCs w:val="24"/>
    </w:rPr>
  </w:style>
  <w:style w:type="character" w:styleId="Style14">
    <w:name w:val="Нижний колонтитул Знак"/>
    <w:qFormat/>
    <w:rPr>
      <w:sz w:val="24"/>
      <w:szCs w:val="24"/>
    </w:rPr>
  </w:style>
  <w:style w:type="character" w:styleId="Style15">
    <w:name w:val="Текст выноски Знак"/>
    <w:qFormat/>
    <w:rPr>
      <w:rFonts w:ascii="Tahoma" w:hAnsi="Tahoma" w:cs="Tahoma"/>
      <w:sz w:val="16"/>
      <w:szCs w:val="16"/>
    </w:rPr>
  </w:style>
  <w:style w:type="character" w:styleId="Style16">
    <w:name w:val="Статья Знак"/>
    <w:qFormat/>
    <w:rPr>
      <w:b/>
      <w:sz w:val="24"/>
      <w:szCs w:val="24"/>
    </w:rPr>
  </w:style>
  <w:style w:type="character" w:styleId="Style17">
    <w:name w:val="Текст сноски Знак"/>
    <w:basedOn w:val="Style11"/>
    <w:qFormat/>
    <w:rPr/>
  </w:style>
  <w:style w:type="character" w:styleId="Style18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tyle19">
    <w:name w:val="Символ концевой сноски"/>
    <w:qFormat/>
    <w:rPr/>
  </w:style>
  <w:style w:type="paragraph" w:styleId="Style20">
    <w:name w:val="Заголовок"/>
    <w:basedOn w:val="Normal"/>
    <w:next w:val="BodyText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BodyText">
    <w:name w:val="Body Text"/>
    <w:basedOn w:val="Normal"/>
    <w:pPr>
      <w:widowControl w:val="false"/>
      <w:suppressAutoHyphens w:val="true"/>
      <w:spacing w:before="0" w:after="120"/>
    </w:pPr>
    <w:rPr>
      <w:rFonts w:ascii="Arial" w:hAnsi="Arial" w:eastAsia="Lucida Sans Unicode" w:cs="Arial"/>
      <w:lang w:val="ru-RU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Arial"/>
    </w:rPr>
  </w:style>
  <w:style w:type="paragraph" w:styleId="Style22">
    <w:name w:val="Обычный (веб)"/>
    <w:basedOn w:val="Normal"/>
    <w:qFormat/>
    <w:pPr>
      <w:spacing w:before="280" w:after="119"/>
    </w:pPr>
    <w:rPr/>
  </w:style>
  <w:style w:type="paragraph" w:styleId="Style23">
    <w:name w:val="Колонтитулы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4">
    <w:name w:val="Содержимое таблицы"/>
    <w:basedOn w:val="Normal"/>
    <w:qFormat/>
    <w:pPr>
      <w:widowControl w:val="false"/>
      <w:suppressLineNumbers/>
      <w:suppressAutoHyphens w:val="true"/>
    </w:pPr>
    <w:rPr>
      <w:rFonts w:ascii="Arial" w:hAnsi="Arial" w:eastAsia="Lucida Sans Unicode" w:cs="Arial"/>
    </w:rPr>
  </w:style>
  <w:style w:type="paragraph" w:styleId="Style25">
    <w:name w:val="ГЛАВА"/>
    <w:basedOn w:val="Normal"/>
    <w:qFormat/>
    <w:pPr>
      <w:ind w:firstLine="708" w:start="0" w:end="0"/>
      <w:jc w:val="center"/>
    </w:pPr>
    <w:rPr>
      <w:b/>
    </w:rPr>
  </w:style>
  <w:style w:type="paragraph" w:styleId="Style26">
    <w:name w:val="статья"/>
    <w:basedOn w:val="Normal"/>
    <w:qFormat/>
    <w:pPr>
      <w:jc w:val="center"/>
    </w:pPr>
    <w:rPr>
      <w:b/>
    </w:rPr>
  </w:style>
  <w:style w:type="paragraph" w:styleId="TOC1">
    <w:name w:val="toc 1"/>
    <w:basedOn w:val="Normal"/>
    <w:next w:val="Normal"/>
    <w:pPr>
      <w:spacing w:before="240" w:after="120"/>
    </w:pPr>
    <w:rPr>
      <w:rFonts w:ascii="Calibri" w:hAnsi="Calibri" w:cs="Calibri"/>
      <w:b/>
      <w:bCs/>
      <w:sz w:val="20"/>
      <w:szCs w:val="20"/>
    </w:rPr>
  </w:style>
  <w:style w:type="paragraph" w:styleId="TOC2">
    <w:name w:val="toc 2"/>
    <w:basedOn w:val="Normal"/>
    <w:next w:val="Normal"/>
    <w:pPr>
      <w:spacing w:before="120" w:after="0"/>
      <w:ind w:hanging="0" w:start="240" w:end="0"/>
    </w:pPr>
    <w:rPr>
      <w:rFonts w:ascii="Calibri" w:hAnsi="Calibri" w:cs="Calibri"/>
      <w:i/>
      <w:iCs/>
      <w:sz w:val="20"/>
      <w:szCs w:val="20"/>
    </w:rPr>
  </w:style>
  <w:style w:type="paragraph" w:styleId="TOC3">
    <w:name w:val="toc 3"/>
    <w:basedOn w:val="Normal"/>
    <w:next w:val="Normal"/>
    <w:pPr>
      <w:ind w:hanging="0" w:start="480" w:end="0"/>
    </w:pPr>
    <w:rPr>
      <w:rFonts w:ascii="Calibri" w:hAnsi="Calibri" w:cs="Calibri"/>
      <w:sz w:val="20"/>
      <w:szCs w:val="20"/>
    </w:rPr>
  </w:style>
  <w:style w:type="paragraph" w:styleId="TOC4">
    <w:name w:val="toc 4"/>
    <w:basedOn w:val="Normal"/>
    <w:next w:val="Normal"/>
    <w:pPr>
      <w:ind w:hanging="0" w:start="720" w:end="0"/>
    </w:pPr>
    <w:rPr>
      <w:rFonts w:ascii="Calibri" w:hAnsi="Calibri" w:cs="Calibri"/>
      <w:sz w:val="20"/>
      <w:szCs w:val="20"/>
    </w:rPr>
  </w:style>
  <w:style w:type="paragraph" w:styleId="TOC5">
    <w:name w:val="toc 5"/>
    <w:basedOn w:val="Normal"/>
    <w:next w:val="Normal"/>
    <w:pPr>
      <w:ind w:hanging="0" w:start="960" w:end="0"/>
    </w:pPr>
    <w:rPr>
      <w:rFonts w:ascii="Calibri" w:hAnsi="Calibri" w:cs="Calibri"/>
      <w:sz w:val="20"/>
      <w:szCs w:val="20"/>
    </w:rPr>
  </w:style>
  <w:style w:type="paragraph" w:styleId="TOC6">
    <w:name w:val="toc 6"/>
    <w:basedOn w:val="Normal"/>
    <w:next w:val="Normal"/>
    <w:pPr>
      <w:ind w:hanging="0" w:start="1200" w:end="0"/>
    </w:pPr>
    <w:rPr>
      <w:rFonts w:ascii="Calibri" w:hAnsi="Calibri" w:cs="Calibri"/>
      <w:sz w:val="20"/>
      <w:szCs w:val="20"/>
    </w:rPr>
  </w:style>
  <w:style w:type="paragraph" w:styleId="TOC7">
    <w:name w:val="toc 7"/>
    <w:basedOn w:val="Normal"/>
    <w:next w:val="Normal"/>
    <w:pPr>
      <w:ind w:hanging="0" w:start="1440" w:end="0"/>
    </w:pPr>
    <w:rPr>
      <w:rFonts w:ascii="Calibri" w:hAnsi="Calibri" w:cs="Calibri"/>
      <w:sz w:val="20"/>
      <w:szCs w:val="20"/>
    </w:rPr>
  </w:style>
  <w:style w:type="paragraph" w:styleId="TOC8">
    <w:name w:val="toc 8"/>
    <w:basedOn w:val="Normal"/>
    <w:next w:val="Normal"/>
    <w:pPr>
      <w:ind w:hanging="0" w:start="1680" w:end="0"/>
    </w:pPr>
    <w:rPr>
      <w:rFonts w:ascii="Calibri" w:hAnsi="Calibri" w:cs="Calibri"/>
      <w:sz w:val="20"/>
      <w:szCs w:val="20"/>
    </w:rPr>
  </w:style>
  <w:style w:type="paragraph" w:styleId="TOC9">
    <w:name w:val="toc 9"/>
    <w:basedOn w:val="Normal"/>
    <w:next w:val="Normal"/>
    <w:pPr>
      <w:ind w:hanging="0" w:start="1920" w:end="0"/>
    </w:pPr>
    <w:rPr>
      <w:rFonts w:ascii="Calibri" w:hAnsi="Calibri" w:cs="Calibri"/>
      <w:sz w:val="20"/>
      <w:szCs w:val="20"/>
    </w:rPr>
  </w:style>
  <w:style w:type="paragraph" w:styleId="Style27">
    <w:name w:val="Статья"/>
    <w:basedOn w:val="Normal"/>
    <w:qFormat/>
    <w:pPr>
      <w:jc w:val="center"/>
    </w:pPr>
    <w:rPr>
      <w:b/>
    </w:rPr>
  </w:style>
  <w:style w:type="paragraph" w:styleId="Style28">
    <w:name w:val="Главы"/>
    <w:basedOn w:val="Normal"/>
    <w:qFormat/>
    <w:pPr>
      <w:jc w:val="center"/>
    </w:pPr>
    <w:rPr>
      <w:b/>
      <w:sz w:val="28"/>
    </w:rPr>
  </w:style>
  <w:style w:type="paragraph" w:styleId="ConsPlusNormal">
    <w:name w:val="ConsPlusNormal"/>
    <w:qFormat/>
    <w:pPr>
      <w:widowControl w:val="false"/>
      <w:autoSpaceDE w:val="false"/>
      <w:bidi w:val="0"/>
      <w:ind w:firstLine="720" w:start="0" w:end="0"/>
    </w:pPr>
    <w:rPr>
      <w:rFonts w:ascii="Arial" w:hAnsi="Arial" w:eastAsia="Times New Roman" w:cs="Arial"/>
      <w:color w:val="auto"/>
      <w:sz w:val="20"/>
      <w:szCs w:val="20"/>
      <w:lang w:val="ru-RU" w:bidi="ar-SA" w:eastAsia="zh-CN"/>
    </w:rPr>
  </w:style>
  <w:style w:type="paragraph" w:styleId="Style29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pPr/>
    <w:rPr>
      <w:sz w:val="20"/>
      <w:szCs w:val="20"/>
    </w:rPr>
  </w:style>
  <w:style w:type="paragraph" w:styleId="IndexHeading">
    <w:name w:val="index heading"/>
    <w:basedOn w:val="Style20"/>
    <w:pPr>
      <w:suppressLineNumbers/>
      <w:ind w:hanging="0" w:start="0"/>
    </w:pPr>
    <w:rPr>
      <w:b/>
      <w:bCs/>
      <w:sz w:val="32"/>
      <w:szCs w:val="32"/>
    </w:rPr>
  </w:style>
  <w:style w:type="paragraph" w:styleId="TOCHeading">
    <w:name w:val="TOC Heading"/>
    <w:basedOn w:val="Heading1"/>
    <w:next w:val="Normal"/>
    <w:qFormat/>
    <w:pPr>
      <w:keepLines/>
      <w:numPr>
        <w:ilvl w:val="0"/>
        <w:numId w:val="0"/>
      </w:numPr>
      <w:spacing w:lineRule="auto" w:line="276" w:before="480" w:after="0"/>
      <w:jc w:val="start"/>
      <w:outlineLvl w:val="9"/>
    </w:pPr>
    <w:rPr>
      <w:rFonts w:ascii="Cambria" w:hAnsi="Cambria" w:eastAsia="Times New Roman" w:cs="Times New Roman"/>
      <w:color w:val="365F91"/>
      <w:kern w:val="0"/>
      <w:sz w:val="28"/>
      <w:szCs w:val="28"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  <w:style w:type="numbering" w:styleId="WW8Num9">
    <w:name w:val="WW8Num9"/>
    <w:qFormat/>
  </w:style>
  <w:style w:type="numbering" w:styleId="WW8Num10">
    <w:name w:val="WW8Num10"/>
    <w:qFormat/>
  </w:style>
  <w:style w:type="numbering" w:styleId="WW8Num11">
    <w:name w:val="WW8Num11"/>
    <w:qFormat/>
  </w:style>
  <w:style w:type="numbering" w:styleId="WW8Num12">
    <w:name w:val="WW8Num12"/>
    <w:qFormat/>
  </w:style>
  <w:style w:type="numbering" w:styleId="WW8Num13">
    <w:name w:val="WW8Num1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notes" Target="footnotes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408</TotalTime>
  <Application>LibreOffice/25.8.7.3$Windows_x86 LibreOffice_project/30742500f2d3eb4366ac312fa33d3dcabdb3eba5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2018-12-13T15:05:00Z</dcterms:created>
  <dc:creator>Specialist1</dc:creator>
  <dc:description/>
  <cp:keywords/>
  <dc:language>ru-RU</dc:language>
  <cp:lastModifiedBy>Пользователь Windows</cp:lastModifiedBy>
  <cp:lastPrinted>2018-12-14T15:44:00Z</cp:lastPrinted>
  <dcterms:modified xsi:type="dcterms:W3CDTF">2021-06-01T11:34:00Z</dcterms:modified>
  <cp:revision>29</cp:revision>
  <dc:subject/>
  <dc:title>УТВЕРЖДЕНО</dc:title>
</cp:coreProperties>
</file>