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второго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ind w:end="-142"/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строителей «СОЮЗ» (АСРО «РОС «СОЮЗ»), которое состоится «7» апреля 2022 г., с правом совершения от имени Общества всех действий, которыми обладает участник Общего собрания членов АСРО «РОС «СОЮЗ» в соответствии с действующим законодательством и Уставом АСРО «РОС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«8» апреля 2022 года, включительно.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</w:rPr>
      </w:pPr>
      <w:r>
        <w:rPr>
          <w:rFonts w:cs="Verdana" w:ascii="Times New Roman" w:hAnsi="Times New Roman"/>
          <w:sz w:val="24"/>
          <w:szCs w:val="24"/>
        </w:rPr>
        <w:t xml:space="preserve">                     </w:t>
      </w:r>
      <w:r>
        <w:rPr>
          <w:rFonts w:cs="Verdana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2018-11-14T12:58:00Z</dcterms:created>
  <dc:creator>Лиза Чистякова</dc:creator>
  <dc:description/>
  <cp:keywords/>
  <dc:language>ru-RU</dc:language>
  <cp:lastModifiedBy>dianova</cp:lastModifiedBy>
  <cp:lastPrinted>2020-09-23T16:08:00Z</cp:lastPrinted>
  <dcterms:modified xsi:type="dcterms:W3CDTF">2022-03-16T10:32:00Z</dcterms:modified>
  <cp:revision>13</cp:revision>
  <dc:subject/>
  <dc:title>На Бланке члена НП</dc:title>
</cp:coreProperties>
</file>